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Studio Modular, Z6475</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Multi-Level Pattern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100% Solution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1/12</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9.5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0.121</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5058</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0.271</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17.0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